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68" w:rsidRDefault="005A0F68" w:rsidP="005A0F68">
      <w:pPr>
        <w:pStyle w:val="a3"/>
        <w:spacing w:before="312" w:line="520" w:lineRule="exact"/>
        <w:jc w:val="center"/>
        <w:rPr>
          <w:rFonts w:ascii="宋体" w:hAnsi="宋体"/>
          <w:b/>
          <w:bCs/>
          <w:color w:val="FF0000"/>
          <w:spacing w:val="20"/>
          <w:sz w:val="56"/>
        </w:rPr>
      </w:pPr>
      <w:r>
        <w:rPr>
          <w:rFonts w:ascii="宋体" w:hAnsi="宋体" w:hint="eastAsia"/>
          <w:b/>
          <w:bCs/>
          <w:color w:val="FF0000"/>
          <w:spacing w:val="20"/>
          <w:sz w:val="56"/>
        </w:rPr>
        <w:t>中国科学院人才交流开发中心</w:t>
      </w:r>
    </w:p>
    <w:p w:rsidR="005A0F68" w:rsidRDefault="005A0F68" w:rsidP="005A0F68">
      <w:pPr>
        <w:pStyle w:val="a3"/>
        <w:spacing w:line="520" w:lineRule="exact"/>
        <w:rPr>
          <w:rFonts w:eastAsia="黑体"/>
          <w:color w:val="000000"/>
          <w:sz w:val="58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5534025" cy="0"/>
                <wp:effectExtent l="36830" t="36195" r="29845" b="3048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pt" to="435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" strokecolor="red" strokeweight="4.5pt">
                <v:stroke linestyle="thickThin"/>
              </v:line>
            </w:pict>
          </mc:Fallback>
        </mc:AlternateContent>
      </w:r>
    </w:p>
    <w:p w:rsidR="0032491B" w:rsidRPr="00F41C49" w:rsidRDefault="005A0F68" w:rsidP="00F41C49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F41C49">
        <w:rPr>
          <w:rFonts w:ascii="仿宋_GB2312" w:eastAsia="仿宋_GB2312" w:hAnsi="仿宋" w:hint="eastAsia"/>
          <w:b/>
          <w:sz w:val="32"/>
          <w:szCs w:val="32"/>
        </w:rPr>
        <w:t>关于举办《劳动争议十大热点、难点、疑点的实务问题与应对》培训的通知</w:t>
      </w:r>
    </w:p>
    <w:p w:rsidR="005A0F68" w:rsidRPr="00434238" w:rsidRDefault="005A0F68">
      <w:pPr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各相关单位：</w:t>
      </w:r>
    </w:p>
    <w:p w:rsidR="005A0F68" w:rsidRPr="00434238" w:rsidRDefault="00DF2A9E" w:rsidP="00F41C49">
      <w:pPr>
        <w:ind w:firstLine="42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劳动争议案件败诉，不但给</w:t>
      </w:r>
      <w:r>
        <w:rPr>
          <w:rFonts w:ascii="仿宋_GB2312" w:eastAsia="仿宋_GB2312" w:hAnsi="仿宋" w:hint="eastAsia"/>
          <w:sz w:val="28"/>
          <w:szCs w:val="28"/>
        </w:rPr>
        <w:t>用人单位</w:t>
      </w:r>
      <w:r>
        <w:rPr>
          <w:rFonts w:ascii="仿宋_GB2312" w:eastAsia="仿宋_GB2312" w:hAnsi="仿宋"/>
          <w:sz w:val="28"/>
          <w:szCs w:val="28"/>
        </w:rPr>
        <w:t>带来翻倍的经济损失，而且也给</w:t>
      </w:r>
      <w:r>
        <w:rPr>
          <w:rFonts w:ascii="仿宋_GB2312" w:eastAsia="仿宋_GB2312" w:hAnsi="仿宋" w:hint="eastAsia"/>
          <w:sz w:val="28"/>
          <w:szCs w:val="28"/>
        </w:rPr>
        <w:t>用人单位</w:t>
      </w:r>
      <w:r>
        <w:rPr>
          <w:rFonts w:ascii="仿宋_GB2312" w:eastAsia="仿宋_GB2312" w:hAnsi="仿宋"/>
          <w:sz w:val="28"/>
          <w:szCs w:val="28"/>
        </w:rPr>
        <w:t>带来不良的社会影响，不但降低</w:t>
      </w:r>
      <w:r>
        <w:rPr>
          <w:rFonts w:ascii="仿宋_GB2312" w:eastAsia="仿宋_GB2312" w:hAnsi="仿宋" w:hint="eastAsia"/>
          <w:sz w:val="28"/>
          <w:szCs w:val="28"/>
        </w:rPr>
        <w:t>用人单位</w:t>
      </w:r>
      <w:r w:rsidR="005A0F68" w:rsidRPr="00434238">
        <w:rPr>
          <w:rFonts w:ascii="仿宋_GB2312" w:eastAsia="仿宋_GB2312" w:hAnsi="仿宋"/>
          <w:sz w:val="28"/>
          <w:szCs w:val="28"/>
        </w:rPr>
        <w:t>领导的管理威望，而且也降低广大在职员工的凝聚力和积极性；如果处理不当，则可能让个别恶意的劳动者乘机闹事，煽动更多的在职员工参与其中，聚众罢工</w:t>
      </w:r>
      <w:r w:rsidR="005A0F68" w:rsidRPr="00434238">
        <w:rPr>
          <w:rFonts w:ascii="仿宋_GB2312" w:eastAsia="仿宋_GB2312" w:hAnsi="仿宋"/>
          <w:sz w:val="28"/>
          <w:szCs w:val="28"/>
        </w:rPr>
        <w:t>……</w:t>
      </w:r>
    </w:p>
    <w:p w:rsidR="00285ECF" w:rsidRPr="00434238" w:rsidRDefault="00285ECF" w:rsidP="00434238">
      <w:pPr>
        <w:ind w:firstLine="42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/>
          <w:sz w:val="28"/>
          <w:szCs w:val="28"/>
        </w:rPr>
        <w:t>如何从制度上防范和应对劳动者严重违纪违规</w:t>
      </w:r>
      <w:r w:rsidRPr="00434238">
        <w:rPr>
          <w:rFonts w:ascii="仿宋_GB2312" w:eastAsia="仿宋_GB2312" w:hAnsi="仿宋" w:hint="eastAsia"/>
          <w:sz w:val="28"/>
          <w:szCs w:val="28"/>
        </w:rPr>
        <w:t>，</w:t>
      </w:r>
      <w:r w:rsidRPr="00434238">
        <w:rPr>
          <w:rFonts w:ascii="仿宋_GB2312" w:eastAsia="仿宋_GB2312" w:hAnsi="仿宋"/>
          <w:sz w:val="28"/>
          <w:szCs w:val="28"/>
        </w:rPr>
        <w:t>如何解除不胜任工作者的劳动合同</w:t>
      </w:r>
      <w:r w:rsidRPr="00434238">
        <w:rPr>
          <w:rFonts w:ascii="仿宋_GB2312" w:eastAsia="仿宋_GB2312" w:hAnsi="仿宋" w:hint="eastAsia"/>
          <w:sz w:val="28"/>
          <w:szCs w:val="28"/>
        </w:rPr>
        <w:t>，</w:t>
      </w:r>
      <w:r w:rsidR="00604ECB" w:rsidRPr="00434238">
        <w:rPr>
          <w:rFonts w:ascii="仿宋_GB2312" w:eastAsia="仿宋_GB2312" w:hAnsi="仿宋"/>
          <w:sz w:val="28"/>
          <w:szCs w:val="28"/>
        </w:rPr>
        <w:t>工伤保险待遇的相关法律问题与应对措施是什么</w:t>
      </w:r>
      <w:r w:rsidR="00027E82" w:rsidRPr="00434238">
        <w:rPr>
          <w:rFonts w:ascii="仿宋_GB2312" w:eastAsia="仿宋_GB2312" w:hAnsi="仿宋"/>
          <w:sz w:val="28"/>
          <w:szCs w:val="28"/>
        </w:rPr>
        <w:t>……</w:t>
      </w:r>
      <w:r w:rsidR="00027E82" w:rsidRPr="00434238">
        <w:rPr>
          <w:rFonts w:ascii="仿宋_GB2312" w:eastAsia="仿宋_GB2312" w:hAnsi="仿宋" w:hint="eastAsia"/>
          <w:sz w:val="28"/>
          <w:szCs w:val="28"/>
        </w:rPr>
        <w:t>面对这些</w:t>
      </w:r>
      <w:r w:rsidR="00027E82" w:rsidRPr="00434238">
        <w:rPr>
          <w:rFonts w:ascii="仿宋_GB2312" w:eastAsia="仿宋_GB2312" w:hAnsi="仿宋"/>
          <w:sz w:val="28"/>
          <w:szCs w:val="28"/>
        </w:rPr>
        <w:t>劳动争议疑点、难点、热点问题</w:t>
      </w:r>
      <w:r w:rsidR="00027E82" w:rsidRPr="00434238">
        <w:rPr>
          <w:rFonts w:ascii="仿宋_GB2312" w:eastAsia="仿宋_GB2312" w:hAnsi="仿宋" w:hint="eastAsia"/>
          <w:sz w:val="28"/>
          <w:szCs w:val="28"/>
        </w:rPr>
        <w:t>，我中心特</w:t>
      </w:r>
      <w:r w:rsidR="001F39BC" w:rsidRPr="00434238">
        <w:rPr>
          <w:rFonts w:ascii="仿宋_GB2312" w:eastAsia="仿宋_GB2312" w:hAnsi="仿宋" w:hint="eastAsia"/>
          <w:sz w:val="28"/>
          <w:szCs w:val="28"/>
        </w:rPr>
        <w:t>邀请知名专家，举办《劳动争议十大热点、难点、疑点的实务问题与应对》培训，</w:t>
      </w:r>
      <w:r w:rsidR="00800045">
        <w:rPr>
          <w:rFonts w:ascii="仿宋_GB2312" w:eastAsia="仿宋_GB2312" w:hAnsi="仿宋"/>
          <w:sz w:val="28"/>
          <w:szCs w:val="28"/>
        </w:rPr>
        <w:t>为</w:t>
      </w:r>
      <w:r w:rsidR="00DF2A9E">
        <w:rPr>
          <w:rFonts w:ascii="仿宋_GB2312" w:eastAsia="仿宋_GB2312" w:hAnsi="仿宋" w:hint="eastAsia"/>
          <w:sz w:val="28"/>
          <w:szCs w:val="28"/>
        </w:rPr>
        <w:t>用人单位</w:t>
      </w:r>
      <w:r w:rsidR="00800045">
        <w:rPr>
          <w:rFonts w:ascii="仿宋_GB2312" w:eastAsia="仿宋_GB2312" w:hAnsi="仿宋"/>
          <w:sz w:val="28"/>
          <w:szCs w:val="28"/>
        </w:rPr>
        <w:t>提供切实可行的实操解决方案，以防</w:t>
      </w:r>
      <w:proofErr w:type="gramStart"/>
      <w:r w:rsidR="00800045">
        <w:rPr>
          <w:rFonts w:ascii="仿宋_GB2312" w:eastAsia="仿宋_GB2312" w:hAnsi="仿宋"/>
          <w:sz w:val="28"/>
          <w:szCs w:val="28"/>
        </w:rPr>
        <w:t>控</w:t>
      </w:r>
      <w:bookmarkStart w:id="0" w:name="_GoBack"/>
      <w:bookmarkEnd w:id="0"/>
      <w:r w:rsidR="001F39BC" w:rsidRPr="00434238">
        <w:rPr>
          <w:rFonts w:ascii="仿宋_GB2312" w:eastAsia="仿宋_GB2312" w:hAnsi="仿宋"/>
          <w:sz w:val="28"/>
          <w:szCs w:val="28"/>
        </w:rPr>
        <w:t>面临</w:t>
      </w:r>
      <w:proofErr w:type="gramEnd"/>
      <w:r w:rsidR="001F39BC" w:rsidRPr="00434238">
        <w:rPr>
          <w:rFonts w:ascii="仿宋_GB2312" w:eastAsia="仿宋_GB2312" w:hAnsi="仿宋"/>
          <w:sz w:val="28"/>
          <w:szCs w:val="28"/>
        </w:rPr>
        <w:t>的各种劳动法律法规风险。</w:t>
      </w:r>
    </w:p>
    <w:p w:rsidR="00CF15FF" w:rsidRPr="00434238" w:rsidRDefault="00CF15FF" w:rsidP="00434238">
      <w:pPr>
        <w:ind w:firstLine="42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具体培训事宜通知如下：</w:t>
      </w:r>
    </w:p>
    <w:p w:rsidR="00CF15FF" w:rsidRPr="00434238" w:rsidRDefault="00CF15FF" w:rsidP="00CF15FF">
      <w:pPr>
        <w:pStyle w:val="a4"/>
        <w:numPr>
          <w:ilvl w:val="0"/>
          <w:numId w:val="1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培训内容：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劳动关系的认定实务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劳动合同的订立、变更与履行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带薪年休假实务操作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劳动关系管理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lastRenderedPageBreak/>
        <w:t>劳动合同解除与终止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工伤认定及相关疑难问题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医疗期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社保争议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竞业限制</w:t>
      </w:r>
    </w:p>
    <w:p w:rsidR="00CF15FF" w:rsidRPr="00434238" w:rsidRDefault="00CF15FF" w:rsidP="00CF15FF">
      <w:pPr>
        <w:pStyle w:val="a4"/>
        <w:numPr>
          <w:ilvl w:val="0"/>
          <w:numId w:val="2"/>
        </w:numPr>
        <w:ind w:firstLineChars="0"/>
        <w:jc w:val="lef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劳动争议仲裁（诉讼）审判实务热点</w:t>
      </w:r>
    </w:p>
    <w:p w:rsidR="00063C50" w:rsidRPr="00434238" w:rsidRDefault="00063C50" w:rsidP="00063C50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 xml:space="preserve">二、培训对象： </w:t>
      </w:r>
    </w:p>
    <w:p w:rsidR="00063C50" w:rsidRPr="00434238" w:rsidRDefault="00434238" w:rsidP="00434238">
      <w:pPr>
        <w:adjustRightInd w:val="0"/>
        <w:snapToGrid w:val="0"/>
        <w:spacing w:line="440" w:lineRule="exact"/>
        <w:ind w:firstLineChars="196" w:firstLine="549"/>
        <w:textAlignment w:val="baseline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各研究</w:t>
      </w:r>
      <w:r w:rsidR="00063C50" w:rsidRPr="00434238">
        <w:rPr>
          <w:rFonts w:ascii="仿宋_GB2312" w:eastAsia="仿宋_GB2312" w:hAnsi="仿宋" w:hint="eastAsia"/>
          <w:sz w:val="28"/>
          <w:szCs w:val="28"/>
        </w:rPr>
        <w:t>所、企事业单位</w:t>
      </w:r>
      <w:r w:rsidR="00063C50" w:rsidRPr="00434238">
        <w:rPr>
          <w:rFonts w:ascii="仿宋" w:eastAsia="仿宋" w:hAnsi="仿宋" w:hint="eastAsia"/>
          <w:sz w:val="28"/>
          <w:szCs w:val="28"/>
        </w:rPr>
        <w:t>人事部门负责人、薪酬福利、社保及劳动关系主管、专员等。</w:t>
      </w:r>
    </w:p>
    <w:p w:rsidR="00063C50" w:rsidRPr="00434238" w:rsidRDefault="00063C50" w:rsidP="00063C50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 xml:space="preserve">三、培训时间、地点 </w:t>
      </w:r>
    </w:p>
    <w:p w:rsidR="00063C50" w:rsidRPr="00434238" w:rsidRDefault="00063C50" w:rsidP="00434238">
      <w:pPr>
        <w:spacing w:line="560" w:lineRule="exact"/>
        <w:ind w:firstLineChars="225" w:firstLine="63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时间：2018</w:t>
      </w:r>
      <w:r w:rsidRPr="00434238">
        <w:rPr>
          <w:rFonts w:ascii="仿宋_GB2312" w:eastAsia="仿宋_GB2312" w:hAnsi="仿宋" w:hint="eastAsia"/>
          <w:color w:val="000000"/>
          <w:sz w:val="28"/>
          <w:szCs w:val="28"/>
        </w:rPr>
        <w:t>年12月21</w:t>
      </w:r>
      <w:r w:rsidRPr="00434238">
        <w:rPr>
          <w:rFonts w:ascii="仿宋_GB2312" w:eastAsia="仿宋_GB2312" w:hAnsi="仿宋" w:hint="eastAsia"/>
          <w:sz w:val="28"/>
          <w:szCs w:val="28"/>
        </w:rPr>
        <w:t>日（周五 ）9:00-16:00</w:t>
      </w:r>
    </w:p>
    <w:p w:rsidR="00063C50" w:rsidRPr="00434238" w:rsidRDefault="00063C50" w:rsidP="00434238">
      <w:pPr>
        <w:spacing w:line="560" w:lineRule="exact"/>
        <w:ind w:firstLineChars="225" w:firstLine="63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" w:eastAsia="仿宋" w:hAnsi="仿宋" w:hint="eastAsia"/>
          <w:sz w:val="28"/>
          <w:szCs w:val="28"/>
        </w:rPr>
        <w:t>地点：北京·中关村(详细信息报名后另行通知)</w:t>
      </w:r>
    </w:p>
    <w:p w:rsidR="00F41C49" w:rsidRPr="00434238" w:rsidRDefault="00F41C49" w:rsidP="00F41C49">
      <w:pPr>
        <w:spacing w:line="560" w:lineRule="exact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 xml:space="preserve">四、收费、报名及其它:  </w:t>
      </w:r>
    </w:p>
    <w:p w:rsidR="00F41C49" w:rsidRPr="00434238" w:rsidRDefault="00F41C49" w:rsidP="00434238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每</w:t>
      </w:r>
      <w:r w:rsidRPr="00434238">
        <w:rPr>
          <w:rFonts w:ascii="仿宋_GB2312" w:eastAsia="仿宋_GB2312" w:hAnsi="仿宋" w:hint="eastAsia"/>
          <w:color w:val="000000"/>
          <w:sz w:val="28"/>
          <w:szCs w:val="28"/>
        </w:rPr>
        <w:t>人</w:t>
      </w:r>
      <w:r w:rsidRPr="00434238">
        <w:rPr>
          <w:rFonts w:ascii="仿宋_GB2312" w:eastAsia="仿宋_GB2312" w:hAnsi="仿宋" w:hint="eastAsia"/>
          <w:sz w:val="28"/>
          <w:szCs w:val="28"/>
        </w:rPr>
        <w:t>费用550元（含培训、资料、茶点、会务费用等）。</w:t>
      </w:r>
    </w:p>
    <w:p w:rsidR="00F41C49" w:rsidRPr="00434238" w:rsidRDefault="00F41C49" w:rsidP="00434238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购买年卡优惠至6000元/12次</w:t>
      </w:r>
      <w:r w:rsidR="00434238">
        <w:rPr>
          <w:rFonts w:ascii="仿宋_GB2312" w:eastAsia="仿宋_GB2312" w:hAnsi="仿宋" w:hint="eastAsia"/>
          <w:sz w:val="28"/>
          <w:szCs w:val="28"/>
        </w:rPr>
        <w:t>。</w:t>
      </w:r>
    </w:p>
    <w:p w:rsidR="00F41C49" w:rsidRPr="00434238" w:rsidRDefault="00F41C49" w:rsidP="00434238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>如已购买年卡，欢迎使用年卡，踊跃参加。</w:t>
      </w:r>
    </w:p>
    <w:p w:rsidR="00F41C49" w:rsidRPr="00434238" w:rsidRDefault="00F41C49" w:rsidP="0043423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4238">
        <w:rPr>
          <w:rFonts w:ascii="仿宋" w:eastAsia="仿宋" w:hAnsi="仿宋" w:hint="eastAsia"/>
          <w:sz w:val="28"/>
          <w:szCs w:val="28"/>
        </w:rPr>
        <w:t>联系人：王老师 穆老师</w:t>
      </w:r>
    </w:p>
    <w:p w:rsidR="00F41C49" w:rsidRPr="00434238" w:rsidRDefault="00F41C49" w:rsidP="0043423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34238">
        <w:rPr>
          <w:rFonts w:ascii="仿宋" w:eastAsia="仿宋" w:hAnsi="仿宋" w:hint="eastAsia"/>
          <w:sz w:val="28"/>
          <w:szCs w:val="28"/>
        </w:rPr>
        <w:t>电  话：010-82610729</w:t>
      </w:r>
    </w:p>
    <w:p w:rsidR="00F41C49" w:rsidRPr="00434238" w:rsidRDefault="00F41C49" w:rsidP="00434238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proofErr w:type="gramStart"/>
      <w:r w:rsidRPr="00434238">
        <w:rPr>
          <w:rFonts w:ascii="仿宋" w:eastAsia="仿宋" w:hAnsi="仿宋" w:hint="eastAsia"/>
          <w:sz w:val="28"/>
          <w:szCs w:val="28"/>
        </w:rPr>
        <w:t>邮</w:t>
      </w:r>
      <w:proofErr w:type="gramEnd"/>
      <w:r w:rsidRPr="00434238">
        <w:rPr>
          <w:rFonts w:ascii="仿宋" w:eastAsia="仿宋" w:hAnsi="仿宋" w:hint="eastAsia"/>
          <w:sz w:val="28"/>
          <w:szCs w:val="28"/>
        </w:rPr>
        <w:t xml:space="preserve">  箱：wangjie@casjob.com/muming@casjob.com</w:t>
      </w:r>
    </w:p>
    <w:p w:rsidR="00F41C49" w:rsidRPr="00434238" w:rsidRDefault="00F41C49" w:rsidP="00434238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F41C49" w:rsidRPr="00434238" w:rsidRDefault="00F41C49" w:rsidP="00434238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F41C49" w:rsidRPr="00434238" w:rsidRDefault="00F41C49" w:rsidP="00434238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F41C49" w:rsidRPr="00434238" w:rsidRDefault="00F41C49" w:rsidP="00434238">
      <w:pPr>
        <w:spacing w:line="560" w:lineRule="exact"/>
        <w:ind w:firstLineChars="1150" w:firstLine="322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 xml:space="preserve">  中国科学院人才交流开发中心 </w:t>
      </w:r>
    </w:p>
    <w:p w:rsidR="00F41C49" w:rsidRPr="00434238" w:rsidRDefault="00F41C49" w:rsidP="00434238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34238">
        <w:rPr>
          <w:rFonts w:ascii="仿宋_GB2312" w:eastAsia="仿宋_GB2312" w:hAnsi="仿宋" w:hint="eastAsia"/>
          <w:sz w:val="28"/>
          <w:szCs w:val="28"/>
        </w:rPr>
        <w:t xml:space="preserve">                          二〇一八年十一月   </w:t>
      </w:r>
    </w:p>
    <w:p w:rsidR="00757422" w:rsidRDefault="00757422" w:rsidP="00063C50"/>
    <w:p w:rsidR="00757422" w:rsidRDefault="00757422" w:rsidP="00757422">
      <w:pPr>
        <w:pStyle w:val="1"/>
        <w:spacing w:line="360" w:lineRule="auto"/>
        <w:ind w:firstLineChars="0" w:firstLine="0"/>
        <w:rPr>
          <w:rFonts w:ascii="仿宋_GB2312" w:eastAsia="仿宋_GB2312" w:hint="eastAsia"/>
          <w:b/>
          <w:i w:val="0"/>
          <w:color w:val="000000"/>
          <w:sz w:val="30"/>
          <w:szCs w:val="30"/>
        </w:rPr>
      </w:pPr>
      <w:r>
        <w:rPr>
          <w:rFonts w:ascii="仿宋_GB2312" w:eastAsia="仿宋_GB2312" w:hint="eastAsia"/>
          <w:b/>
          <w:i w:val="0"/>
          <w:color w:val="000000"/>
          <w:sz w:val="30"/>
          <w:szCs w:val="30"/>
        </w:rPr>
        <w:lastRenderedPageBreak/>
        <w:t>回</w:t>
      </w:r>
      <w:r>
        <w:rPr>
          <w:rFonts w:eastAsia="仿宋_GB2312" w:hint="eastAsia"/>
          <w:b/>
          <w:i w:val="0"/>
          <w:color w:val="000000"/>
          <w:sz w:val="30"/>
          <w:szCs w:val="30"/>
        </w:rPr>
        <w:t>      </w:t>
      </w:r>
      <w:r>
        <w:rPr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 执</w:t>
      </w:r>
    </w:p>
    <w:p w:rsidR="00757422" w:rsidRPr="00E64BC5" w:rsidRDefault="00757422" w:rsidP="00757422">
      <w:pPr>
        <w:pStyle w:val="a6"/>
        <w:spacing w:line="480" w:lineRule="exact"/>
        <w:ind w:leftChars="0" w:left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通讯</w:t>
      </w:r>
      <w:r w:rsidRPr="00E64BC5">
        <w:rPr>
          <w:rFonts w:ascii="仿宋_GB2312" w:eastAsia="仿宋_GB2312" w:hint="eastAsia"/>
          <w:b/>
          <w:sz w:val="30"/>
          <w:szCs w:val="30"/>
        </w:rPr>
        <w:t>地址</w:t>
      </w:r>
      <w:r>
        <w:rPr>
          <w:rFonts w:ascii="仿宋_GB2312" w:eastAsia="仿宋_GB2312" w:hint="eastAsia"/>
          <w:b/>
          <w:sz w:val="30"/>
          <w:szCs w:val="30"/>
        </w:rPr>
        <w:t>、联系人</w:t>
      </w:r>
      <w:r w:rsidRPr="00E64BC5">
        <w:rPr>
          <w:rFonts w:ascii="仿宋_GB2312" w:eastAsia="仿宋_GB2312" w:hint="eastAsia"/>
          <w:b/>
          <w:sz w:val="30"/>
          <w:szCs w:val="30"/>
        </w:rPr>
        <w:t>：</w:t>
      </w:r>
    </w:p>
    <w:p w:rsidR="00757422" w:rsidRPr="00E64BC5" w:rsidRDefault="00757422" w:rsidP="00757422">
      <w:pPr>
        <w:pStyle w:val="a6"/>
        <w:spacing w:line="480" w:lineRule="exact"/>
        <w:ind w:leftChars="0" w:left="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bCs/>
          <w:color w:val="000000"/>
          <w:sz w:val="30"/>
          <w:szCs w:val="30"/>
        </w:rPr>
        <w:t>开票信息及税号(必填)</w:t>
      </w:r>
      <w:r w:rsidRPr="00E64BC5">
        <w:rPr>
          <w:rFonts w:ascii="仿宋_GB2312" w:eastAsia="仿宋_GB2312" w:hint="eastAsia"/>
          <w:b/>
          <w:sz w:val="30"/>
          <w:szCs w:val="30"/>
        </w:rPr>
        <w:t xml:space="preserve">：                                              </w:t>
      </w:r>
    </w:p>
    <w:p w:rsidR="00757422" w:rsidRPr="00DB0FCF" w:rsidRDefault="00757422" w:rsidP="00757422">
      <w:pPr>
        <w:pStyle w:val="a6"/>
        <w:spacing w:line="480" w:lineRule="exact"/>
        <w:ind w:leftChars="0" w:left="0"/>
        <w:rPr>
          <w:rFonts w:ascii="仿宋_GB2312" w:eastAsia="仿宋_GB2312" w:hAnsi="宋体"/>
          <w:b/>
          <w:color w:val="FF000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缴费方式: </w:t>
      </w:r>
      <w:r>
        <w:rPr>
          <w:rFonts w:ascii="仿宋_GB2312" w:eastAsia="仿宋_GB2312" w:hint="eastAsia"/>
          <w:b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b/>
          <w:sz w:val="30"/>
          <w:szCs w:val="30"/>
        </w:rPr>
        <w:t xml:space="preserve"> 1.培训年卡  2.公务卡、转账汇款  3.现场缴费</w:t>
      </w:r>
    </w:p>
    <w:tbl>
      <w:tblPr>
        <w:tblW w:w="0" w:type="auto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2160"/>
        <w:gridCol w:w="2700"/>
        <w:gridCol w:w="3005"/>
      </w:tblGrid>
      <w:tr w:rsidR="00757422" w:rsidTr="000A7D62">
        <w:trPr>
          <w:cantSplit/>
          <w:trHeight w:val="81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757422" w:rsidTr="000A7D62">
        <w:trPr>
          <w:trHeight w:val="844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757422" w:rsidTr="000A7D62">
        <w:trPr>
          <w:trHeight w:val="84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757422" w:rsidTr="000A7D62">
        <w:trPr>
          <w:cantSplit/>
          <w:trHeight w:val="840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bCs/>
                <w:i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757422" w:rsidTr="000A7D62">
        <w:trPr>
          <w:trHeight w:val="852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757422" w:rsidTr="000A7D62">
        <w:trPr>
          <w:trHeight w:val="822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757422" w:rsidTr="000A7D62">
        <w:trPr>
          <w:trHeight w:val="848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757422" w:rsidTr="000A7D62">
        <w:trPr>
          <w:trHeight w:val="846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757422" w:rsidTr="000A7D62">
        <w:trPr>
          <w:trHeight w:val="860"/>
          <w:jc w:val="center"/>
        </w:trPr>
        <w:tc>
          <w:tcPr>
            <w:tcW w:w="2466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姓名：</w:t>
            </w:r>
          </w:p>
        </w:tc>
        <w:tc>
          <w:tcPr>
            <w:tcW w:w="216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性别：</w:t>
            </w:r>
          </w:p>
        </w:tc>
        <w:tc>
          <w:tcPr>
            <w:tcW w:w="2700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FF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职务：</w:t>
            </w:r>
          </w:p>
        </w:tc>
        <w:tc>
          <w:tcPr>
            <w:tcW w:w="3005" w:type="dxa"/>
            <w:tcBorders>
              <w:top w:val="single" w:sz="4" w:space="0" w:color="336699"/>
              <w:left w:val="single" w:sz="4" w:space="0" w:color="3366FF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座机：</w:t>
            </w:r>
          </w:p>
        </w:tc>
      </w:tr>
      <w:tr w:rsidR="00757422" w:rsidTr="000A7D62">
        <w:trPr>
          <w:trHeight w:val="848"/>
          <w:jc w:val="center"/>
        </w:trPr>
        <w:tc>
          <w:tcPr>
            <w:tcW w:w="4626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手机：</w:t>
            </w:r>
          </w:p>
        </w:tc>
        <w:tc>
          <w:tcPr>
            <w:tcW w:w="5705" w:type="dxa"/>
            <w:gridSpan w:val="2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rPr>
                <w:rFonts w:ascii="仿宋_GB2312" w:eastAsia="仿宋_GB2312" w:hAnsi="宋体" w:cs="Arial"/>
                <w:b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Arial" w:hint="eastAsia"/>
                <w:b/>
                <w:bCs/>
                <w:iCs/>
                <w:color w:val="000000"/>
                <w:kern w:val="0"/>
                <w:sz w:val="30"/>
                <w:szCs w:val="30"/>
              </w:rPr>
              <w:t>E-mail:</w:t>
            </w:r>
          </w:p>
        </w:tc>
      </w:tr>
      <w:tr w:rsidR="00757422" w:rsidTr="000A7D62">
        <w:trPr>
          <w:trHeight w:val="1381"/>
          <w:jc w:val="center"/>
        </w:trPr>
        <w:tc>
          <w:tcPr>
            <w:tcW w:w="10331" w:type="dxa"/>
            <w:gridSpan w:val="4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757422" w:rsidRDefault="00757422" w:rsidP="000A7D62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  <w:r>
              <w:rPr>
                <w:rFonts w:ascii="仿宋_GB2312" w:eastAsia="仿宋_GB2312" w:cs="Arial" w:hint="eastAsia"/>
                <w:b/>
                <w:sz w:val="30"/>
                <w:szCs w:val="30"/>
              </w:rPr>
              <w:t>请告诉我们您的意见、建议和需要：</w:t>
            </w:r>
          </w:p>
          <w:p w:rsidR="00757422" w:rsidRDefault="00757422" w:rsidP="000A7D62">
            <w:pPr>
              <w:widowControl/>
              <w:spacing w:line="360" w:lineRule="auto"/>
              <w:jc w:val="center"/>
              <w:rPr>
                <w:rFonts w:ascii="仿宋_GB2312" w:eastAsia="仿宋_GB2312" w:cs="Arial"/>
                <w:b/>
                <w:sz w:val="30"/>
                <w:szCs w:val="30"/>
              </w:rPr>
            </w:pPr>
          </w:p>
          <w:p w:rsidR="00757422" w:rsidRPr="00DB0FCF" w:rsidRDefault="00757422" w:rsidP="0074722A">
            <w:pPr>
              <w:widowControl/>
              <w:spacing w:line="360" w:lineRule="auto"/>
              <w:rPr>
                <w:rFonts w:ascii="仿宋_GB2312" w:eastAsia="仿宋_GB2312" w:cs="Arial"/>
                <w:b/>
                <w:sz w:val="30"/>
                <w:szCs w:val="30"/>
              </w:rPr>
            </w:pPr>
          </w:p>
        </w:tc>
      </w:tr>
    </w:tbl>
    <w:p w:rsidR="00757422" w:rsidRPr="00757422" w:rsidRDefault="00757422" w:rsidP="00063C50"/>
    <w:sectPr w:rsidR="00757422" w:rsidRPr="00757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1C0A"/>
    <w:multiLevelType w:val="hybridMultilevel"/>
    <w:tmpl w:val="E95288D4"/>
    <w:lvl w:ilvl="0" w:tplc="E8EA1110">
      <w:start w:val="1"/>
      <w:numFmt w:val="decimal"/>
      <w:lvlText w:val="%1、"/>
      <w:lvlJc w:val="left"/>
      <w:pPr>
        <w:ind w:left="1020" w:hanging="36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>
    <w:nsid w:val="587E23F1"/>
    <w:multiLevelType w:val="hybridMultilevel"/>
    <w:tmpl w:val="8834B1E6"/>
    <w:lvl w:ilvl="0" w:tplc="3E3A917A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474C0A"/>
    <w:multiLevelType w:val="hybridMultilevel"/>
    <w:tmpl w:val="85A23D6C"/>
    <w:lvl w:ilvl="0" w:tplc="CBF61A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68"/>
    <w:rsid w:val="00027E82"/>
    <w:rsid w:val="00063C50"/>
    <w:rsid w:val="001F39BC"/>
    <w:rsid w:val="00285ECF"/>
    <w:rsid w:val="0032491B"/>
    <w:rsid w:val="00434238"/>
    <w:rsid w:val="005A0F68"/>
    <w:rsid w:val="00604ECB"/>
    <w:rsid w:val="0074722A"/>
    <w:rsid w:val="00757422"/>
    <w:rsid w:val="00800045"/>
    <w:rsid w:val="00CF15FF"/>
    <w:rsid w:val="00DF2A9E"/>
    <w:rsid w:val="00F41C49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57422"/>
    <w:pPr>
      <w:keepNext/>
      <w:ind w:firstLineChars="50" w:firstLine="165"/>
      <w:outlineLvl w:val="0"/>
    </w:pPr>
    <w:rPr>
      <w:rFonts w:ascii="Raavi" w:eastAsia="宋体" w:hAnsi="Raavi" w:cs="Times New Roman"/>
      <w:i/>
      <w:color w:val="800000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A0F68"/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3"/>
    <w:rsid w:val="005A0F68"/>
    <w:rPr>
      <w:rFonts w:ascii="Times New Roman" w:eastAsia="宋体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CF15F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41C49"/>
    <w:rPr>
      <w:color w:val="0000FF" w:themeColor="hyperlink"/>
      <w:u w:val="single"/>
    </w:rPr>
  </w:style>
  <w:style w:type="paragraph" w:styleId="a6">
    <w:name w:val="Body Text Indent"/>
    <w:basedOn w:val="a"/>
    <w:link w:val="Char0"/>
    <w:uiPriority w:val="99"/>
    <w:semiHidden/>
    <w:unhideWhenUsed/>
    <w:rsid w:val="0075742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uiPriority w:val="99"/>
    <w:semiHidden/>
    <w:rsid w:val="00757422"/>
  </w:style>
  <w:style w:type="character" w:customStyle="1" w:styleId="1Char">
    <w:name w:val="标题 1 Char"/>
    <w:basedOn w:val="a0"/>
    <w:link w:val="1"/>
    <w:rsid w:val="00757422"/>
    <w:rPr>
      <w:rFonts w:ascii="Raavi" w:eastAsia="宋体" w:hAnsi="Raavi" w:cs="Times New Roman"/>
      <w:i/>
      <w:color w:val="800000"/>
      <w:sz w:val="3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57422"/>
    <w:pPr>
      <w:keepNext/>
      <w:ind w:firstLineChars="50" w:firstLine="165"/>
      <w:outlineLvl w:val="0"/>
    </w:pPr>
    <w:rPr>
      <w:rFonts w:ascii="Raavi" w:eastAsia="宋体" w:hAnsi="Raavi" w:cs="Times New Roman"/>
      <w:i/>
      <w:color w:val="800000"/>
      <w:sz w:val="3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A0F68"/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 Char"/>
    <w:basedOn w:val="a0"/>
    <w:link w:val="a3"/>
    <w:rsid w:val="005A0F68"/>
    <w:rPr>
      <w:rFonts w:ascii="Times New Roman" w:eastAsia="宋体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CF15FF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F41C49"/>
    <w:rPr>
      <w:color w:val="0000FF" w:themeColor="hyperlink"/>
      <w:u w:val="single"/>
    </w:rPr>
  </w:style>
  <w:style w:type="paragraph" w:styleId="a6">
    <w:name w:val="Body Text Indent"/>
    <w:basedOn w:val="a"/>
    <w:link w:val="Char0"/>
    <w:uiPriority w:val="99"/>
    <w:semiHidden/>
    <w:unhideWhenUsed/>
    <w:rsid w:val="00757422"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uiPriority w:val="99"/>
    <w:semiHidden/>
    <w:rsid w:val="00757422"/>
  </w:style>
  <w:style w:type="character" w:customStyle="1" w:styleId="1Char">
    <w:name w:val="标题 1 Char"/>
    <w:basedOn w:val="a0"/>
    <w:link w:val="1"/>
    <w:rsid w:val="00757422"/>
    <w:rPr>
      <w:rFonts w:ascii="Raavi" w:eastAsia="宋体" w:hAnsi="Raavi" w:cs="Times New Roman"/>
      <w:i/>
      <w:color w:val="800000"/>
      <w:sz w:val="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2018-11-26T01:47:00Z</dcterms:created>
  <dcterms:modified xsi:type="dcterms:W3CDTF">2018-11-26T02:44:00Z</dcterms:modified>
</cp:coreProperties>
</file>