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担任工程师职务，应具备下列条件：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1. 具备下列部门之一的条件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（1）生产、技术管理部门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①基本掌握现代生产管理和技术管理的方法，有独立解决比较复杂的技术问题的能力；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②能够灵活运用本专业的基础理论知识和专业技术知识，熟悉本专业国内外现状和发展趋势；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③有一定从事生产、技术管理工作的实践经验，取得有实用价值的技术成果和技术经济效益；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④能够指导助理工程师的工作和学习；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（2）研究、设计部门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①有独立承担较复杂项目的研究、设计工作能力，能解决本专业范围内比较复杂的技术问题；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②较系统地掌握本专业的基础理论知识和专业技术知识，熟悉本专业国内外现状和发展趋势；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③有一定从事工程技术研究、设计工作的实践经验，能吸收、采用国内外先进技术，在提高研究、设计水平和经济效益方面取得一定成绩；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④能够指导助理工程师的工作和学习；</w:t>
      </w:r>
    </w:p>
    <w:p w:rsidR="00766F84" w:rsidRPr="00766F84" w:rsidRDefault="00766F84" w:rsidP="00766F8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6F84">
        <w:rPr>
          <w:rFonts w:ascii="新宋体" w:eastAsia="新宋体" w:hAnsi="新宋体" w:cs="宋体" w:hint="eastAsia"/>
          <w:kern w:val="0"/>
          <w:szCs w:val="21"/>
        </w:rPr>
        <w:t>2. 获得博士学位，经考察合格；获得硕士学位或取得第二学士学位，从事助理工程师工作2年左右；获得学士学位或大学本科毕业，从事助理工程师工作4年以上；大学专科毕业，从事助理工程师工作4年以上。</w:t>
      </w:r>
    </w:p>
    <w:p w:rsidR="00CF1FF2" w:rsidRPr="00766F84" w:rsidRDefault="00CF1FF2">
      <w:pPr>
        <w:rPr>
          <w:rFonts w:hint="eastAsia"/>
        </w:rPr>
      </w:pPr>
      <w:bookmarkStart w:id="0" w:name="_GoBack"/>
      <w:bookmarkEnd w:id="0"/>
    </w:p>
    <w:sectPr w:rsidR="00CF1FF2" w:rsidRPr="00766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12"/>
    <w:rsid w:val="006C3A12"/>
    <w:rsid w:val="00766F84"/>
    <w:rsid w:val="00C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2016-12-02T02:00:00Z</dcterms:created>
  <dcterms:modified xsi:type="dcterms:W3CDTF">2016-12-02T02:00:00Z</dcterms:modified>
</cp:coreProperties>
</file>